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68" w:rsidRDefault="00476568" w:rsidP="00476568">
      <w:pPr>
        <w:spacing w:after="240"/>
      </w:pPr>
      <w:r>
        <w:t>Dear Travel Partner,</w:t>
      </w:r>
    </w:p>
    <w:p w:rsidR="00476568" w:rsidRDefault="00476568" w:rsidP="00476568">
      <w:pPr>
        <w:pStyle w:val="NormalWeb"/>
      </w:pPr>
      <w:r>
        <w:t xml:space="preserve">We are writing to provide you with important information regarding your client’s upcoming sailing </w:t>
      </w:r>
      <w:proofErr w:type="spellStart"/>
      <w:r>
        <w:t>onboard</w:t>
      </w:r>
      <w:proofErr w:type="spellEnd"/>
      <w:r>
        <w:t xml:space="preserve"> Anthem of the Seas. Please provide this information, as soon as possible, to your clients booked on this sailing.</w:t>
      </w:r>
    </w:p>
    <w:p w:rsidR="00476568" w:rsidRDefault="00476568" w:rsidP="00476568">
      <w:pPr>
        <w:pStyle w:val="NormalWeb"/>
      </w:pPr>
      <w:r>
        <w:t xml:space="preserve">Our new SMART Check-In simplifies the boarding process to get them </w:t>
      </w:r>
      <w:proofErr w:type="spellStart"/>
      <w:r>
        <w:t>onboard</w:t>
      </w:r>
      <w:proofErr w:type="spellEnd"/>
      <w:r>
        <w:t xml:space="preserve"> in record time. To ensure a smooth and expedited check-in and boarding process, we recommend guests arrive at the pier within their selected appointment time frame. If your clients haven’t checked in yet, they can go to </w:t>
      </w:r>
      <w:hyperlink r:id="rId4" w:history="1">
        <w:r>
          <w:rPr>
            <w:rStyle w:val="Hyperlink"/>
          </w:rPr>
          <w:t>www.royalcaribbean.com/onlinecheckin</w:t>
        </w:r>
      </w:hyperlink>
      <w:r>
        <w:t xml:space="preserve"> and complete the four simple steps to avoid stopping at a counter at the terminal. Once at the pier they will:</w:t>
      </w:r>
    </w:p>
    <w:p w:rsidR="00476568" w:rsidRDefault="00476568" w:rsidP="00476568">
      <w:pPr>
        <w:pStyle w:val="NormalWeb"/>
      </w:pPr>
      <w:r>
        <w:t>1.        Drop off their luggage with one of the porters outside of the terminal</w:t>
      </w:r>
      <w:r>
        <w:br/>
        <w:t>2.        Enter the terminal and look for one of our mobile agents dressed in turquoise</w:t>
      </w:r>
      <w:r>
        <w:br/>
        <w:t xml:space="preserve">3.        Present the completed </w:t>
      </w:r>
      <w:proofErr w:type="spellStart"/>
      <w:r>
        <w:t>SetSail</w:t>
      </w:r>
      <w:proofErr w:type="spellEnd"/>
      <w:r>
        <w:t xml:space="preserve"> Pass for each of the guests in their party</w:t>
      </w:r>
      <w:r>
        <w:br/>
        <w:t>4.        Proceed to board Anthem of the Seas (if boarding is already underway)</w:t>
      </w:r>
    </w:p>
    <w:p w:rsidR="00476568" w:rsidRDefault="00476568" w:rsidP="00476568">
      <w:pPr>
        <w:pStyle w:val="NormalWeb"/>
      </w:pPr>
      <w:r>
        <w:t xml:space="preserve">If your clients have already completed online check-in, please have them print their most up to date </w:t>
      </w:r>
      <w:proofErr w:type="spellStart"/>
      <w:r>
        <w:t>SetSail</w:t>
      </w:r>
      <w:proofErr w:type="spellEnd"/>
      <w:r>
        <w:t xml:space="preserve"> Pass and bring it with them to the pier. We appreciate your assistance in notifying our mutual guests, and we thank you for your continued support of Royal Caribbean International.</w:t>
      </w:r>
    </w:p>
    <w:p w:rsidR="00476568" w:rsidRDefault="00476568" w:rsidP="00476568">
      <w:r>
        <w:rPr>
          <w:b/>
          <w:bCs/>
        </w:rPr>
        <w:t>The following passengers are affected.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836"/>
      </w:tblGrid>
      <w:tr w:rsidR="00476568" w:rsidTr="0047656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6568" w:rsidRDefault="00476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Booking 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6568" w:rsidRDefault="00476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Passenger Name</w:t>
            </w:r>
          </w:p>
        </w:tc>
      </w:tr>
      <w:tr w:rsidR="00476568" w:rsidTr="0047656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6568" w:rsidRDefault="00476568">
            <w:r>
              <w:t>3431088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6568" w:rsidRDefault="00476568">
            <w:r>
              <w:t>Bethany Williams</w:t>
            </w:r>
          </w:p>
        </w:tc>
      </w:tr>
      <w:tr w:rsidR="00476568" w:rsidTr="0047656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6568" w:rsidRDefault="00476568">
            <w:r>
              <w:t>3431088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6568" w:rsidRDefault="00476568">
            <w:r>
              <w:t>Hollie Williams</w:t>
            </w:r>
          </w:p>
        </w:tc>
      </w:tr>
      <w:tr w:rsidR="00476568" w:rsidTr="0047656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6568" w:rsidRDefault="00476568">
            <w:r>
              <w:t>3427875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6568" w:rsidRDefault="00476568">
            <w:r>
              <w:t>John Williams</w:t>
            </w:r>
          </w:p>
        </w:tc>
      </w:tr>
      <w:tr w:rsidR="00476568" w:rsidTr="0047656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6568" w:rsidRDefault="00476568">
            <w:r>
              <w:t>3431088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6568" w:rsidRDefault="00476568">
            <w:r>
              <w:t>Paul Williams</w:t>
            </w:r>
          </w:p>
        </w:tc>
      </w:tr>
      <w:tr w:rsidR="00476568" w:rsidTr="0047656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6568" w:rsidRDefault="00476568">
            <w:r>
              <w:t>3427875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6568" w:rsidRDefault="00476568">
            <w:r>
              <w:t>Sylvia Williams</w:t>
            </w:r>
          </w:p>
        </w:tc>
      </w:tr>
    </w:tbl>
    <w:p w:rsidR="00476568" w:rsidRDefault="00476568" w:rsidP="00476568">
      <w:bookmarkStart w:id="0" w:name="_GoBack"/>
      <w:bookmarkEnd w:id="0"/>
    </w:p>
    <w:p w:rsidR="00476568" w:rsidRDefault="00476568" w:rsidP="00476568">
      <w:pPr>
        <w:pStyle w:val="NormalWeb"/>
      </w:pPr>
      <w:r>
        <w:t>Sincerely,</w:t>
      </w:r>
    </w:p>
    <w:p w:rsidR="00476568" w:rsidRDefault="00476568" w:rsidP="00476568">
      <w:pPr>
        <w:pStyle w:val="NormalWeb"/>
      </w:pPr>
      <w:r>
        <w:t>Royal Caribbean International</w:t>
      </w:r>
    </w:p>
    <w:p w:rsidR="00476568" w:rsidRDefault="00476568" w:rsidP="00476568">
      <w:pPr>
        <w:pStyle w:val="NormalWeb"/>
      </w:pPr>
      <w:hyperlink r:id="rId5" w:history="1">
        <w:r>
          <w:rPr>
            <w:rStyle w:val="Hyperlink"/>
          </w:rPr>
          <w:t>www.royalcaribbean.com</w:t>
        </w:r>
      </w:hyperlink>
    </w:p>
    <w:p w:rsidR="007C0582" w:rsidRPr="00476568" w:rsidRDefault="00476568" w:rsidP="00476568"/>
    <w:sectPr w:rsidR="007C0582" w:rsidRPr="00476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8"/>
    <w:rsid w:val="000A6A22"/>
    <w:rsid w:val="00476568"/>
    <w:rsid w:val="009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E6AC9-3A85-42C2-849D-922D267E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7656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656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65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yalcaribbean.com" TargetMode="External"/><Relationship Id="rId4" Type="http://schemas.openxmlformats.org/officeDocument/2006/relationships/hyperlink" Target="http://www.royalcaribbean.com/onlinechec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Gordon</dc:creator>
  <cp:keywords/>
  <dc:description/>
  <cp:lastModifiedBy>Michaela Gordon</cp:lastModifiedBy>
  <cp:revision>1</cp:revision>
  <dcterms:created xsi:type="dcterms:W3CDTF">2016-11-23T09:50:00Z</dcterms:created>
  <dcterms:modified xsi:type="dcterms:W3CDTF">2016-11-23T09:50:00Z</dcterms:modified>
</cp:coreProperties>
</file>