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48" w:rsidRDefault="00D75D36" w:rsidP="002902BC">
      <w:pPr>
        <w:spacing w:after="0" w:line="240" w:lineRule="auto"/>
        <w:rPr>
          <w:b/>
        </w:rPr>
      </w:pPr>
      <w:r w:rsidRPr="00D75D36">
        <w:rPr>
          <w:b/>
          <w:noProof/>
          <w:lang w:val="en-GB" w:eastAsia="en-GB"/>
        </w:rPr>
        <w:drawing>
          <wp:inline distT="0" distB="0" distL="0" distR="0">
            <wp:extent cx="5942739" cy="1482090"/>
            <wp:effectExtent l="0" t="0" r="1270" b="3810"/>
            <wp:docPr id="1" name="Picture 1" descr="C:\Users\Afasano\AppData\Local\Microsoft\Windows\Temporary Internet Files\Content.Outlook\NS6PMJGO\Sawgrass Vertic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sano\AppData\Local\Microsoft\Windows\Temporary Internet Files\Content.Outlook\NS6PMJGO\Sawgrass Vertical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9908" cy="1496348"/>
                    </a:xfrm>
                    <a:prstGeom prst="rect">
                      <a:avLst/>
                    </a:prstGeom>
                    <a:noFill/>
                    <a:ln>
                      <a:noFill/>
                    </a:ln>
                  </pic:spPr>
                </pic:pic>
              </a:graphicData>
            </a:graphic>
          </wp:inline>
        </w:drawing>
      </w:r>
    </w:p>
    <w:p w:rsidR="00D74D48" w:rsidRPr="00D74D48" w:rsidRDefault="00D74D48" w:rsidP="00D74D48">
      <w:pPr>
        <w:jc w:val="center"/>
        <w:rPr>
          <w:b/>
          <w:u w:val="single"/>
        </w:rPr>
      </w:pPr>
      <w:r>
        <w:rPr>
          <w:b/>
          <w:u w:val="single"/>
        </w:rPr>
        <w:t>2018 / 2019 FIT AGREEMENT</w:t>
      </w:r>
    </w:p>
    <w:tbl>
      <w:tblPr>
        <w:tblStyle w:val="TableGrid"/>
        <w:tblW w:w="0" w:type="auto"/>
        <w:tblLook w:val="04A0" w:firstRow="1" w:lastRow="0" w:firstColumn="1" w:lastColumn="0" w:noHBand="0" w:noVBand="1"/>
      </w:tblPr>
      <w:tblGrid>
        <w:gridCol w:w="4675"/>
        <w:gridCol w:w="4675"/>
      </w:tblGrid>
      <w:tr w:rsidR="00D74D48" w:rsidTr="00D74D48">
        <w:tc>
          <w:tcPr>
            <w:tcW w:w="4675" w:type="dxa"/>
          </w:tcPr>
          <w:p w:rsidR="00D74D48" w:rsidRPr="00D74D48" w:rsidRDefault="00D74D48">
            <w:pPr>
              <w:rPr>
                <w:b/>
              </w:rPr>
            </w:pPr>
            <w:r>
              <w:rPr>
                <w:b/>
              </w:rPr>
              <w:t>Sawgrass Grand Hotel</w:t>
            </w:r>
            <w:r w:rsidR="005E1F8C">
              <w:rPr>
                <w:b/>
              </w:rPr>
              <w:t xml:space="preserve"> – “Hotel”</w:t>
            </w:r>
          </w:p>
        </w:tc>
        <w:tc>
          <w:tcPr>
            <w:tcW w:w="4675" w:type="dxa"/>
          </w:tcPr>
          <w:p w:rsidR="00D74D48" w:rsidRPr="006A4BCB" w:rsidRDefault="006A4BCB">
            <w:pPr>
              <w:rPr>
                <w:b/>
              </w:rPr>
            </w:pPr>
            <w:r>
              <w:rPr>
                <w:b/>
              </w:rPr>
              <w:t>Ocean Holidays</w:t>
            </w:r>
          </w:p>
        </w:tc>
      </w:tr>
      <w:tr w:rsidR="00D74D48" w:rsidTr="00D74D48">
        <w:tc>
          <w:tcPr>
            <w:tcW w:w="4675" w:type="dxa"/>
          </w:tcPr>
          <w:p w:rsidR="00D74D48" w:rsidRDefault="00D74D48">
            <w:r>
              <w:t>3003 N. University Drive</w:t>
            </w:r>
          </w:p>
          <w:p w:rsidR="00D74D48" w:rsidRDefault="00D74D48">
            <w:r>
              <w:t>Sunrise, FL  33322</w:t>
            </w:r>
          </w:p>
        </w:tc>
        <w:tc>
          <w:tcPr>
            <w:tcW w:w="4675" w:type="dxa"/>
          </w:tcPr>
          <w:p w:rsidR="00D74D48" w:rsidRDefault="006A4BCB">
            <w:r>
              <w:t>3204 Rolling Oaks Blvd.</w:t>
            </w:r>
          </w:p>
          <w:p w:rsidR="006A4BCB" w:rsidRDefault="006A4BCB">
            <w:r>
              <w:t>Kissimmee, FL  34747</w:t>
            </w:r>
          </w:p>
        </w:tc>
      </w:tr>
      <w:tr w:rsidR="00D74D48" w:rsidTr="00D74D48">
        <w:tc>
          <w:tcPr>
            <w:tcW w:w="4675" w:type="dxa"/>
          </w:tcPr>
          <w:p w:rsidR="00D74D48" w:rsidRDefault="00D74D48">
            <w:r>
              <w:t>Art Fasano, Director of Sales and Marketing</w:t>
            </w:r>
          </w:p>
        </w:tc>
        <w:tc>
          <w:tcPr>
            <w:tcW w:w="4675" w:type="dxa"/>
          </w:tcPr>
          <w:p w:rsidR="00D74D48" w:rsidRDefault="006A4BCB">
            <w:r>
              <w:t>Simon Hilton – Head of Product</w:t>
            </w:r>
          </w:p>
        </w:tc>
      </w:tr>
      <w:tr w:rsidR="00D74D48" w:rsidTr="00D74D48">
        <w:tc>
          <w:tcPr>
            <w:tcW w:w="4675" w:type="dxa"/>
          </w:tcPr>
          <w:p w:rsidR="00D74D48" w:rsidRDefault="0084378A">
            <w:hyperlink r:id="rId7" w:history="1">
              <w:r w:rsidR="00D74D48" w:rsidRPr="00DF75F3">
                <w:rPr>
                  <w:rStyle w:val="Hyperlink"/>
                </w:rPr>
                <w:t>AFasano@sawgrassgrand.com</w:t>
              </w:r>
            </w:hyperlink>
          </w:p>
        </w:tc>
        <w:tc>
          <w:tcPr>
            <w:tcW w:w="4675" w:type="dxa"/>
          </w:tcPr>
          <w:p w:rsidR="00D74D48" w:rsidRDefault="006A4BCB">
            <w:r>
              <w:t>Simon.hilton@ocean-holidays.co.uk</w:t>
            </w:r>
          </w:p>
        </w:tc>
      </w:tr>
      <w:tr w:rsidR="00D74D48" w:rsidTr="00D74D48">
        <w:tc>
          <w:tcPr>
            <w:tcW w:w="4675" w:type="dxa"/>
          </w:tcPr>
          <w:p w:rsidR="00D74D48" w:rsidRDefault="00D74D48">
            <w:r>
              <w:t>T: 957-748-7000</w:t>
            </w:r>
          </w:p>
        </w:tc>
        <w:tc>
          <w:tcPr>
            <w:tcW w:w="4675" w:type="dxa"/>
          </w:tcPr>
          <w:p w:rsidR="00D74D48" w:rsidRDefault="00C54B22">
            <w:r>
              <w:t>T:</w:t>
            </w:r>
            <w:r w:rsidR="006A4BCB">
              <w:t xml:space="preserve"> 407-390-6422</w:t>
            </w:r>
          </w:p>
        </w:tc>
      </w:tr>
      <w:tr w:rsidR="00D74D48" w:rsidTr="00D74D48">
        <w:tc>
          <w:tcPr>
            <w:tcW w:w="4675" w:type="dxa"/>
          </w:tcPr>
          <w:p w:rsidR="00D74D48" w:rsidRDefault="00D74D48">
            <w:r>
              <w:t>F: 954-747-9593</w:t>
            </w:r>
          </w:p>
        </w:tc>
        <w:tc>
          <w:tcPr>
            <w:tcW w:w="4675" w:type="dxa"/>
          </w:tcPr>
          <w:p w:rsidR="00D74D48" w:rsidRDefault="00C54B22">
            <w:r>
              <w:t>F:</w:t>
            </w:r>
            <w:r w:rsidR="006A4BCB">
              <w:t xml:space="preserve"> 407-454-3058</w:t>
            </w:r>
          </w:p>
        </w:tc>
      </w:tr>
      <w:tr w:rsidR="00D74D48" w:rsidTr="00D74D48">
        <w:tc>
          <w:tcPr>
            <w:tcW w:w="4675" w:type="dxa"/>
          </w:tcPr>
          <w:p w:rsidR="00D74D48" w:rsidRDefault="00D74D48">
            <w:r>
              <w:t>Website: www.sawgrassgrand.com</w:t>
            </w:r>
          </w:p>
        </w:tc>
        <w:tc>
          <w:tcPr>
            <w:tcW w:w="4675" w:type="dxa"/>
          </w:tcPr>
          <w:p w:rsidR="00D74D48" w:rsidRDefault="00D74D48"/>
        </w:tc>
      </w:tr>
    </w:tbl>
    <w:p w:rsidR="00226D9C" w:rsidRDefault="00226D9C"/>
    <w:p w:rsidR="00D74D48" w:rsidRDefault="00D74D48">
      <w:r>
        <w:t xml:space="preserve">The rates provided in this 2018/2019 Confidential Rate Agreement are for the sole purpose of sale by </w:t>
      </w:r>
      <w:r w:rsidR="006A4BCB">
        <w:rPr>
          <w:b/>
        </w:rPr>
        <w:t>Ocean Holidays</w:t>
      </w:r>
      <w:r>
        <w:rPr>
          <w:b/>
        </w:rPr>
        <w:t xml:space="preserve"> </w:t>
      </w:r>
      <w:r>
        <w:t>and for the contractual term.  Net rates must be distributed either as a “Packaged Rate” or as a “Marked-up-Rate” of a minimum of 20% mark up.</w:t>
      </w:r>
    </w:p>
    <w:p w:rsidR="00D74D48" w:rsidRDefault="006A4BCB">
      <w:r>
        <w:rPr>
          <w:b/>
        </w:rPr>
        <w:t xml:space="preserve">Ocean Holidays </w:t>
      </w:r>
      <w:r w:rsidR="00D74D48">
        <w:t xml:space="preserve">to feature the </w:t>
      </w:r>
      <w:r w:rsidR="00D74D48">
        <w:rPr>
          <w:b/>
        </w:rPr>
        <w:t xml:space="preserve">Sawgrass Grand Hotel </w:t>
      </w:r>
      <w:r w:rsidR="00D74D48">
        <w:t>in their 2018/2019 brochure and/or web page listing on the same basis as other properties featured.  The minimum representation will be a photograph with the appropriate rate and amenity information regarding the featured property.</w:t>
      </w:r>
    </w:p>
    <w:tbl>
      <w:tblPr>
        <w:tblStyle w:val="TableGrid"/>
        <w:tblW w:w="0" w:type="auto"/>
        <w:tblLook w:val="0680" w:firstRow="0" w:lastRow="0" w:firstColumn="1" w:lastColumn="0" w:noHBand="1" w:noVBand="1"/>
      </w:tblPr>
      <w:tblGrid>
        <w:gridCol w:w="1165"/>
        <w:gridCol w:w="1170"/>
        <w:gridCol w:w="1350"/>
        <w:gridCol w:w="1197"/>
        <w:gridCol w:w="963"/>
        <w:gridCol w:w="1710"/>
        <w:gridCol w:w="1795"/>
      </w:tblGrid>
      <w:tr w:rsidR="00E81019" w:rsidTr="00861CD7">
        <w:tc>
          <w:tcPr>
            <w:tcW w:w="1165" w:type="dxa"/>
            <w:shd w:val="clear" w:color="auto" w:fill="00B0F0"/>
          </w:tcPr>
          <w:p w:rsidR="00E81019" w:rsidRPr="006157C3" w:rsidRDefault="00E81019" w:rsidP="00861CD7">
            <w:pPr>
              <w:rPr>
                <w:b/>
              </w:rPr>
            </w:pPr>
            <w:r>
              <w:rPr>
                <w:b/>
              </w:rPr>
              <w:t>From:</w:t>
            </w:r>
          </w:p>
        </w:tc>
        <w:tc>
          <w:tcPr>
            <w:tcW w:w="1170" w:type="dxa"/>
            <w:shd w:val="clear" w:color="auto" w:fill="00B0F0"/>
          </w:tcPr>
          <w:p w:rsidR="00E81019" w:rsidRPr="006157C3" w:rsidRDefault="00E81019" w:rsidP="00861CD7">
            <w:pPr>
              <w:rPr>
                <w:b/>
              </w:rPr>
            </w:pPr>
            <w:r>
              <w:rPr>
                <w:b/>
              </w:rPr>
              <w:t>To:</w:t>
            </w:r>
          </w:p>
        </w:tc>
        <w:tc>
          <w:tcPr>
            <w:tcW w:w="1350" w:type="dxa"/>
            <w:shd w:val="clear" w:color="auto" w:fill="00B0F0"/>
          </w:tcPr>
          <w:p w:rsidR="00E81019" w:rsidRPr="006157C3" w:rsidRDefault="00E81019" w:rsidP="00861CD7">
            <w:pPr>
              <w:rPr>
                <w:b/>
              </w:rPr>
            </w:pPr>
            <w:r>
              <w:rPr>
                <w:b/>
              </w:rPr>
              <w:t>Room Type:</w:t>
            </w:r>
          </w:p>
        </w:tc>
        <w:tc>
          <w:tcPr>
            <w:tcW w:w="1197" w:type="dxa"/>
            <w:shd w:val="clear" w:color="auto" w:fill="00B0F0"/>
          </w:tcPr>
          <w:p w:rsidR="00E81019" w:rsidRPr="006157C3" w:rsidRDefault="00E81019" w:rsidP="00861CD7">
            <w:pPr>
              <w:rPr>
                <w:b/>
              </w:rPr>
            </w:pPr>
            <w:r>
              <w:rPr>
                <w:b/>
              </w:rPr>
              <w:t>Allotment:</w:t>
            </w:r>
          </w:p>
        </w:tc>
        <w:tc>
          <w:tcPr>
            <w:tcW w:w="963" w:type="dxa"/>
            <w:shd w:val="clear" w:color="auto" w:fill="00B0F0"/>
          </w:tcPr>
          <w:p w:rsidR="00E81019" w:rsidRPr="006157C3" w:rsidRDefault="00E81019" w:rsidP="00861CD7">
            <w:pPr>
              <w:rPr>
                <w:b/>
              </w:rPr>
            </w:pPr>
            <w:r>
              <w:rPr>
                <w:b/>
              </w:rPr>
              <w:t>Cut Off:</w:t>
            </w:r>
          </w:p>
        </w:tc>
        <w:tc>
          <w:tcPr>
            <w:tcW w:w="1710" w:type="dxa"/>
            <w:shd w:val="clear" w:color="auto" w:fill="00B0F0"/>
          </w:tcPr>
          <w:p w:rsidR="00E81019" w:rsidRPr="006157C3" w:rsidRDefault="00E81019" w:rsidP="00E81019">
            <w:pPr>
              <w:rPr>
                <w:b/>
              </w:rPr>
            </w:pPr>
            <w:r>
              <w:rPr>
                <w:b/>
              </w:rPr>
              <w:t>**SGL / DBL Weekday:</w:t>
            </w:r>
          </w:p>
        </w:tc>
        <w:tc>
          <w:tcPr>
            <w:tcW w:w="1795" w:type="dxa"/>
            <w:shd w:val="clear" w:color="auto" w:fill="00B0F0"/>
          </w:tcPr>
          <w:p w:rsidR="00E81019" w:rsidRDefault="00E81019" w:rsidP="00E81019">
            <w:pPr>
              <w:rPr>
                <w:b/>
              </w:rPr>
            </w:pPr>
            <w:r>
              <w:rPr>
                <w:b/>
              </w:rPr>
              <w:t>**SGL / DBL Weekend:</w:t>
            </w:r>
          </w:p>
        </w:tc>
      </w:tr>
      <w:tr w:rsidR="00E81019" w:rsidTr="00861CD7">
        <w:tc>
          <w:tcPr>
            <w:tcW w:w="1165" w:type="dxa"/>
          </w:tcPr>
          <w:p w:rsidR="00E81019" w:rsidRDefault="00E81019" w:rsidP="00861CD7">
            <w:r>
              <w:t>02 Jan 18</w:t>
            </w:r>
          </w:p>
        </w:tc>
        <w:tc>
          <w:tcPr>
            <w:tcW w:w="1170" w:type="dxa"/>
          </w:tcPr>
          <w:p w:rsidR="00E81019" w:rsidRDefault="00E81019" w:rsidP="00861CD7">
            <w:r>
              <w:t>31 Mar 18</w:t>
            </w:r>
          </w:p>
        </w:tc>
        <w:tc>
          <w:tcPr>
            <w:tcW w:w="1350" w:type="dxa"/>
          </w:tcPr>
          <w:p w:rsidR="00E81019" w:rsidRDefault="00E81019" w:rsidP="00861CD7">
            <w:r>
              <w:t>ROH</w:t>
            </w:r>
          </w:p>
        </w:tc>
        <w:tc>
          <w:tcPr>
            <w:tcW w:w="1197" w:type="dxa"/>
          </w:tcPr>
          <w:p w:rsidR="00E81019" w:rsidRDefault="00E81019" w:rsidP="00861CD7">
            <w:r>
              <w:t>Free Sell</w:t>
            </w:r>
          </w:p>
        </w:tc>
        <w:tc>
          <w:tcPr>
            <w:tcW w:w="963" w:type="dxa"/>
          </w:tcPr>
          <w:p w:rsidR="00E81019" w:rsidRDefault="00E81019" w:rsidP="00861CD7">
            <w:r>
              <w:t>3 days</w:t>
            </w:r>
          </w:p>
        </w:tc>
        <w:tc>
          <w:tcPr>
            <w:tcW w:w="1710" w:type="dxa"/>
          </w:tcPr>
          <w:p w:rsidR="00E81019" w:rsidRDefault="00E81019" w:rsidP="00861CD7">
            <w:r>
              <w:t>$79.00 / $81.00</w:t>
            </w:r>
          </w:p>
        </w:tc>
        <w:tc>
          <w:tcPr>
            <w:tcW w:w="1795" w:type="dxa"/>
          </w:tcPr>
          <w:p w:rsidR="00E81019" w:rsidRDefault="00E81019" w:rsidP="00861CD7">
            <w:r>
              <w:t>$84.00 / $86.00</w:t>
            </w:r>
          </w:p>
        </w:tc>
      </w:tr>
      <w:tr w:rsidR="00E81019" w:rsidTr="00861CD7">
        <w:tc>
          <w:tcPr>
            <w:tcW w:w="1165" w:type="dxa"/>
          </w:tcPr>
          <w:p w:rsidR="00E81019" w:rsidRDefault="00E81019" w:rsidP="00861CD7">
            <w:r>
              <w:t>01 Apr 18</w:t>
            </w:r>
          </w:p>
        </w:tc>
        <w:tc>
          <w:tcPr>
            <w:tcW w:w="1170" w:type="dxa"/>
          </w:tcPr>
          <w:p w:rsidR="00E81019" w:rsidRDefault="00E81019" w:rsidP="00861CD7">
            <w:r>
              <w:t>31May 18</w:t>
            </w:r>
          </w:p>
        </w:tc>
        <w:tc>
          <w:tcPr>
            <w:tcW w:w="1350" w:type="dxa"/>
          </w:tcPr>
          <w:p w:rsidR="00E81019" w:rsidRDefault="00E81019" w:rsidP="00861CD7">
            <w:r>
              <w:t>ROH</w:t>
            </w:r>
          </w:p>
        </w:tc>
        <w:tc>
          <w:tcPr>
            <w:tcW w:w="1197" w:type="dxa"/>
          </w:tcPr>
          <w:p w:rsidR="00E81019" w:rsidRDefault="00E81019" w:rsidP="00861CD7">
            <w:r>
              <w:t>Free Sell</w:t>
            </w:r>
          </w:p>
        </w:tc>
        <w:tc>
          <w:tcPr>
            <w:tcW w:w="963" w:type="dxa"/>
          </w:tcPr>
          <w:p w:rsidR="00E81019" w:rsidRDefault="00E81019" w:rsidP="00861CD7">
            <w:r>
              <w:t>3 days</w:t>
            </w:r>
          </w:p>
        </w:tc>
        <w:tc>
          <w:tcPr>
            <w:tcW w:w="1710" w:type="dxa"/>
          </w:tcPr>
          <w:p w:rsidR="00E81019" w:rsidRDefault="00E81019" w:rsidP="00861CD7">
            <w:r>
              <w:t>$60.00 / $62.00</w:t>
            </w:r>
          </w:p>
        </w:tc>
        <w:tc>
          <w:tcPr>
            <w:tcW w:w="1795" w:type="dxa"/>
          </w:tcPr>
          <w:p w:rsidR="00E81019" w:rsidRDefault="00E81019" w:rsidP="00861CD7">
            <w:r>
              <w:t>$65.00 / $67.00</w:t>
            </w:r>
          </w:p>
        </w:tc>
      </w:tr>
      <w:tr w:rsidR="00E81019" w:rsidTr="00861CD7">
        <w:tc>
          <w:tcPr>
            <w:tcW w:w="1165" w:type="dxa"/>
          </w:tcPr>
          <w:p w:rsidR="00E81019" w:rsidRDefault="00E81019" w:rsidP="00861CD7">
            <w:r>
              <w:t>01 Jun 18</w:t>
            </w:r>
          </w:p>
        </w:tc>
        <w:tc>
          <w:tcPr>
            <w:tcW w:w="1170" w:type="dxa"/>
          </w:tcPr>
          <w:p w:rsidR="00E81019" w:rsidRDefault="00E81019" w:rsidP="00861CD7">
            <w:r>
              <w:t>31 Jul 18</w:t>
            </w:r>
          </w:p>
        </w:tc>
        <w:tc>
          <w:tcPr>
            <w:tcW w:w="1350" w:type="dxa"/>
          </w:tcPr>
          <w:p w:rsidR="00E81019" w:rsidRDefault="00E81019" w:rsidP="00861CD7">
            <w:r>
              <w:t xml:space="preserve">ROH </w:t>
            </w:r>
          </w:p>
        </w:tc>
        <w:tc>
          <w:tcPr>
            <w:tcW w:w="1197" w:type="dxa"/>
          </w:tcPr>
          <w:p w:rsidR="00E81019" w:rsidRDefault="00E81019" w:rsidP="00861CD7">
            <w:r>
              <w:t>Free Sell</w:t>
            </w:r>
          </w:p>
        </w:tc>
        <w:tc>
          <w:tcPr>
            <w:tcW w:w="963" w:type="dxa"/>
          </w:tcPr>
          <w:p w:rsidR="00E81019" w:rsidRDefault="00E81019" w:rsidP="00861CD7">
            <w:r>
              <w:t>3 days</w:t>
            </w:r>
          </w:p>
        </w:tc>
        <w:tc>
          <w:tcPr>
            <w:tcW w:w="1710" w:type="dxa"/>
          </w:tcPr>
          <w:p w:rsidR="00E81019" w:rsidRDefault="00E81019" w:rsidP="00861CD7">
            <w:r>
              <w:t>$50.00 / $52.00</w:t>
            </w:r>
          </w:p>
        </w:tc>
        <w:tc>
          <w:tcPr>
            <w:tcW w:w="1795" w:type="dxa"/>
          </w:tcPr>
          <w:p w:rsidR="00E81019" w:rsidRDefault="00E81019" w:rsidP="00861CD7">
            <w:r>
              <w:t>$55.00 / $57.00</w:t>
            </w:r>
          </w:p>
        </w:tc>
      </w:tr>
      <w:tr w:rsidR="00E81019" w:rsidTr="00861CD7">
        <w:tc>
          <w:tcPr>
            <w:tcW w:w="1165" w:type="dxa"/>
          </w:tcPr>
          <w:p w:rsidR="00E81019" w:rsidRDefault="00E81019" w:rsidP="00861CD7">
            <w:r>
              <w:t>01 Aug 18</w:t>
            </w:r>
          </w:p>
        </w:tc>
        <w:tc>
          <w:tcPr>
            <w:tcW w:w="1170" w:type="dxa"/>
          </w:tcPr>
          <w:p w:rsidR="00E81019" w:rsidRDefault="00E81019" w:rsidP="00861CD7">
            <w:r>
              <w:t>30 Sep 18</w:t>
            </w:r>
          </w:p>
        </w:tc>
        <w:tc>
          <w:tcPr>
            <w:tcW w:w="1350" w:type="dxa"/>
          </w:tcPr>
          <w:p w:rsidR="00E81019" w:rsidRDefault="00E81019" w:rsidP="00861CD7">
            <w:r>
              <w:t>ROH</w:t>
            </w:r>
          </w:p>
        </w:tc>
        <w:tc>
          <w:tcPr>
            <w:tcW w:w="1197" w:type="dxa"/>
          </w:tcPr>
          <w:p w:rsidR="00E81019" w:rsidRDefault="00E81019" w:rsidP="00861CD7">
            <w:r>
              <w:t>Free Sell</w:t>
            </w:r>
          </w:p>
        </w:tc>
        <w:tc>
          <w:tcPr>
            <w:tcW w:w="963" w:type="dxa"/>
          </w:tcPr>
          <w:p w:rsidR="00E81019" w:rsidRDefault="00E81019" w:rsidP="00861CD7">
            <w:r>
              <w:t>3 days</w:t>
            </w:r>
          </w:p>
        </w:tc>
        <w:tc>
          <w:tcPr>
            <w:tcW w:w="1710" w:type="dxa"/>
          </w:tcPr>
          <w:p w:rsidR="00E81019" w:rsidRDefault="00E81019" w:rsidP="00861CD7">
            <w:r>
              <w:t>$50.00 / $52.00</w:t>
            </w:r>
          </w:p>
        </w:tc>
        <w:tc>
          <w:tcPr>
            <w:tcW w:w="1795" w:type="dxa"/>
          </w:tcPr>
          <w:p w:rsidR="00E81019" w:rsidRDefault="00E81019" w:rsidP="00861CD7">
            <w:r>
              <w:t>$55.00 / $57.00</w:t>
            </w:r>
          </w:p>
        </w:tc>
      </w:tr>
      <w:tr w:rsidR="00E81019" w:rsidTr="00861CD7">
        <w:tc>
          <w:tcPr>
            <w:tcW w:w="1165" w:type="dxa"/>
          </w:tcPr>
          <w:p w:rsidR="00E81019" w:rsidRDefault="00E81019" w:rsidP="00861CD7">
            <w:r>
              <w:t>01 Oct 18</w:t>
            </w:r>
          </w:p>
        </w:tc>
        <w:tc>
          <w:tcPr>
            <w:tcW w:w="1170" w:type="dxa"/>
          </w:tcPr>
          <w:p w:rsidR="00E81019" w:rsidRDefault="00E81019" w:rsidP="00861CD7">
            <w:r>
              <w:t>23 Dec 18</w:t>
            </w:r>
          </w:p>
        </w:tc>
        <w:tc>
          <w:tcPr>
            <w:tcW w:w="1350" w:type="dxa"/>
          </w:tcPr>
          <w:p w:rsidR="00E81019" w:rsidRDefault="00E81019" w:rsidP="00861CD7">
            <w:r>
              <w:t>ROH</w:t>
            </w:r>
          </w:p>
        </w:tc>
        <w:tc>
          <w:tcPr>
            <w:tcW w:w="1197" w:type="dxa"/>
          </w:tcPr>
          <w:p w:rsidR="00E81019" w:rsidRDefault="00E81019" w:rsidP="00861CD7">
            <w:r>
              <w:t>Free Sell</w:t>
            </w:r>
          </w:p>
        </w:tc>
        <w:tc>
          <w:tcPr>
            <w:tcW w:w="963" w:type="dxa"/>
          </w:tcPr>
          <w:p w:rsidR="00E81019" w:rsidRDefault="00E81019" w:rsidP="00861CD7">
            <w:r>
              <w:t>3 days</w:t>
            </w:r>
          </w:p>
        </w:tc>
        <w:tc>
          <w:tcPr>
            <w:tcW w:w="1710" w:type="dxa"/>
          </w:tcPr>
          <w:p w:rsidR="00E81019" w:rsidRDefault="00E81019" w:rsidP="00861CD7">
            <w:r>
              <w:t>$55.00 / $57.00</w:t>
            </w:r>
          </w:p>
        </w:tc>
        <w:tc>
          <w:tcPr>
            <w:tcW w:w="1795" w:type="dxa"/>
          </w:tcPr>
          <w:p w:rsidR="00E81019" w:rsidRDefault="00E81019" w:rsidP="00861CD7">
            <w:r>
              <w:t>$60.00 / $62.00</w:t>
            </w:r>
          </w:p>
        </w:tc>
      </w:tr>
      <w:tr w:rsidR="00E81019" w:rsidTr="00861CD7">
        <w:tc>
          <w:tcPr>
            <w:tcW w:w="1165" w:type="dxa"/>
          </w:tcPr>
          <w:p w:rsidR="00E81019" w:rsidRDefault="00E81019" w:rsidP="00861CD7">
            <w:r>
              <w:t>24 Dec 18</w:t>
            </w:r>
          </w:p>
        </w:tc>
        <w:tc>
          <w:tcPr>
            <w:tcW w:w="1170" w:type="dxa"/>
          </w:tcPr>
          <w:p w:rsidR="00E81019" w:rsidRDefault="00E81019" w:rsidP="00861CD7">
            <w:r>
              <w:t>31 Mar 19</w:t>
            </w:r>
          </w:p>
        </w:tc>
        <w:tc>
          <w:tcPr>
            <w:tcW w:w="1350" w:type="dxa"/>
          </w:tcPr>
          <w:p w:rsidR="00E81019" w:rsidRDefault="00E81019" w:rsidP="00861CD7">
            <w:r>
              <w:t>ROH</w:t>
            </w:r>
          </w:p>
        </w:tc>
        <w:tc>
          <w:tcPr>
            <w:tcW w:w="1197" w:type="dxa"/>
          </w:tcPr>
          <w:p w:rsidR="00E81019" w:rsidRDefault="00E81019" w:rsidP="00861CD7">
            <w:r>
              <w:t>Free Sell</w:t>
            </w:r>
          </w:p>
        </w:tc>
        <w:tc>
          <w:tcPr>
            <w:tcW w:w="963" w:type="dxa"/>
          </w:tcPr>
          <w:p w:rsidR="00E81019" w:rsidRDefault="00E81019" w:rsidP="00861CD7">
            <w:r>
              <w:t>3 days</w:t>
            </w:r>
          </w:p>
        </w:tc>
        <w:tc>
          <w:tcPr>
            <w:tcW w:w="1710" w:type="dxa"/>
          </w:tcPr>
          <w:p w:rsidR="00E81019" w:rsidRDefault="00E81019" w:rsidP="00861CD7">
            <w:r>
              <w:t>$82.00 / $84.00</w:t>
            </w:r>
          </w:p>
        </w:tc>
        <w:tc>
          <w:tcPr>
            <w:tcW w:w="1795" w:type="dxa"/>
          </w:tcPr>
          <w:p w:rsidR="00E81019" w:rsidRDefault="00E81019" w:rsidP="00861CD7">
            <w:r>
              <w:t>$87.00 / $89.00</w:t>
            </w:r>
          </w:p>
        </w:tc>
      </w:tr>
    </w:tbl>
    <w:p w:rsidR="00E81019" w:rsidRPr="00320E56" w:rsidRDefault="00E81019" w:rsidP="00E81019">
      <w:pPr>
        <w:rPr>
          <w:b/>
        </w:rPr>
      </w:pPr>
      <w:r w:rsidRPr="00320E56">
        <w:rPr>
          <w:b/>
        </w:rPr>
        <w:t>**Single is a Standard room with one (1) King bed.  Double is a Standard room with two (2) queen beds.</w:t>
      </w:r>
    </w:p>
    <w:tbl>
      <w:tblPr>
        <w:tblStyle w:val="TableGrid"/>
        <w:tblW w:w="0" w:type="auto"/>
        <w:tblLook w:val="04A0" w:firstRow="1" w:lastRow="0" w:firstColumn="1" w:lastColumn="0" w:noHBand="0" w:noVBand="1"/>
      </w:tblPr>
      <w:tblGrid>
        <w:gridCol w:w="2605"/>
        <w:gridCol w:w="2070"/>
        <w:gridCol w:w="2250"/>
        <w:gridCol w:w="2425"/>
      </w:tblGrid>
      <w:tr w:rsidR="00E81019" w:rsidTr="00861CD7">
        <w:tc>
          <w:tcPr>
            <w:tcW w:w="2605" w:type="dxa"/>
            <w:shd w:val="clear" w:color="auto" w:fill="00B0F0"/>
          </w:tcPr>
          <w:p w:rsidR="00E81019" w:rsidRPr="00E55813" w:rsidRDefault="00E81019" w:rsidP="00861CD7">
            <w:pPr>
              <w:rPr>
                <w:b/>
              </w:rPr>
            </w:pPr>
            <w:r>
              <w:rPr>
                <w:b/>
              </w:rPr>
              <w:t>2018 Special Event Dates</w:t>
            </w:r>
          </w:p>
        </w:tc>
        <w:tc>
          <w:tcPr>
            <w:tcW w:w="2070" w:type="dxa"/>
            <w:shd w:val="clear" w:color="auto" w:fill="00B0F0"/>
          </w:tcPr>
          <w:p w:rsidR="00E81019" w:rsidRPr="00E55813" w:rsidRDefault="00E81019" w:rsidP="00861CD7">
            <w:pPr>
              <w:rPr>
                <w:b/>
              </w:rPr>
            </w:pPr>
            <w:r>
              <w:rPr>
                <w:b/>
              </w:rPr>
              <w:t>Dates</w:t>
            </w:r>
          </w:p>
        </w:tc>
        <w:tc>
          <w:tcPr>
            <w:tcW w:w="2250" w:type="dxa"/>
            <w:shd w:val="clear" w:color="auto" w:fill="00B0F0"/>
          </w:tcPr>
          <w:p w:rsidR="00E81019" w:rsidRDefault="00E81019" w:rsidP="00861CD7">
            <w:pPr>
              <w:rPr>
                <w:b/>
              </w:rPr>
            </w:pPr>
            <w:r>
              <w:rPr>
                <w:b/>
              </w:rPr>
              <w:t xml:space="preserve">Standard Single Room </w:t>
            </w:r>
          </w:p>
        </w:tc>
        <w:tc>
          <w:tcPr>
            <w:tcW w:w="2425" w:type="dxa"/>
            <w:shd w:val="clear" w:color="auto" w:fill="00B0F0"/>
          </w:tcPr>
          <w:p w:rsidR="00E81019" w:rsidRPr="00E55813" w:rsidRDefault="00E81019" w:rsidP="00861CD7">
            <w:pPr>
              <w:rPr>
                <w:b/>
              </w:rPr>
            </w:pPr>
            <w:r>
              <w:rPr>
                <w:b/>
              </w:rPr>
              <w:t>Standard Double Room</w:t>
            </w:r>
          </w:p>
        </w:tc>
      </w:tr>
      <w:tr w:rsidR="00E81019" w:rsidTr="00861CD7">
        <w:tc>
          <w:tcPr>
            <w:tcW w:w="2605" w:type="dxa"/>
          </w:tcPr>
          <w:p w:rsidR="00E81019" w:rsidRPr="00E55813" w:rsidRDefault="00E81019" w:rsidP="00861CD7">
            <w:pPr>
              <w:rPr>
                <w:b/>
              </w:rPr>
            </w:pPr>
            <w:r>
              <w:rPr>
                <w:b/>
              </w:rPr>
              <w:t>Presidents Day Weekend</w:t>
            </w:r>
          </w:p>
        </w:tc>
        <w:tc>
          <w:tcPr>
            <w:tcW w:w="2070" w:type="dxa"/>
          </w:tcPr>
          <w:p w:rsidR="00E81019" w:rsidRPr="00E55813" w:rsidRDefault="00E81019" w:rsidP="00861CD7">
            <w:pPr>
              <w:rPr>
                <w:b/>
              </w:rPr>
            </w:pPr>
            <w:r>
              <w:rPr>
                <w:b/>
              </w:rPr>
              <w:t>02/16-19/2018</w:t>
            </w:r>
          </w:p>
        </w:tc>
        <w:tc>
          <w:tcPr>
            <w:tcW w:w="2250" w:type="dxa"/>
          </w:tcPr>
          <w:p w:rsidR="00E81019" w:rsidRPr="00E55813" w:rsidRDefault="00E81019" w:rsidP="00861CD7">
            <w:pPr>
              <w:rPr>
                <w:b/>
              </w:rPr>
            </w:pPr>
            <w:r>
              <w:rPr>
                <w:b/>
              </w:rPr>
              <w:t>$87.00</w:t>
            </w:r>
          </w:p>
        </w:tc>
        <w:tc>
          <w:tcPr>
            <w:tcW w:w="2425" w:type="dxa"/>
          </w:tcPr>
          <w:p w:rsidR="00E81019" w:rsidRPr="00E55813" w:rsidRDefault="00E81019" w:rsidP="00861CD7">
            <w:pPr>
              <w:rPr>
                <w:b/>
              </w:rPr>
            </w:pPr>
            <w:r>
              <w:rPr>
                <w:b/>
              </w:rPr>
              <w:t>$99.00</w:t>
            </w:r>
          </w:p>
        </w:tc>
      </w:tr>
      <w:tr w:rsidR="00E81019" w:rsidTr="00861CD7">
        <w:tc>
          <w:tcPr>
            <w:tcW w:w="2605" w:type="dxa"/>
          </w:tcPr>
          <w:p w:rsidR="00E81019" w:rsidRPr="00E55813" w:rsidRDefault="00E81019" w:rsidP="00861CD7">
            <w:pPr>
              <w:rPr>
                <w:b/>
              </w:rPr>
            </w:pPr>
            <w:r>
              <w:rPr>
                <w:b/>
              </w:rPr>
              <w:t>Easter / Passover</w:t>
            </w:r>
          </w:p>
        </w:tc>
        <w:tc>
          <w:tcPr>
            <w:tcW w:w="2070" w:type="dxa"/>
          </w:tcPr>
          <w:p w:rsidR="00E81019" w:rsidRPr="00E55813" w:rsidRDefault="00E81019" w:rsidP="00861CD7">
            <w:pPr>
              <w:rPr>
                <w:b/>
              </w:rPr>
            </w:pPr>
            <w:r>
              <w:rPr>
                <w:b/>
              </w:rPr>
              <w:t>03/30-04/07/2018</w:t>
            </w:r>
          </w:p>
        </w:tc>
        <w:tc>
          <w:tcPr>
            <w:tcW w:w="2250" w:type="dxa"/>
          </w:tcPr>
          <w:p w:rsidR="00E81019" w:rsidRPr="00E55813" w:rsidRDefault="00E81019" w:rsidP="00861CD7">
            <w:pPr>
              <w:rPr>
                <w:b/>
              </w:rPr>
            </w:pPr>
            <w:r>
              <w:rPr>
                <w:b/>
              </w:rPr>
              <w:t>$63.00</w:t>
            </w:r>
          </w:p>
        </w:tc>
        <w:tc>
          <w:tcPr>
            <w:tcW w:w="2425" w:type="dxa"/>
          </w:tcPr>
          <w:p w:rsidR="00E81019" w:rsidRPr="00E55813" w:rsidRDefault="00E81019" w:rsidP="00861CD7">
            <w:pPr>
              <w:rPr>
                <w:b/>
              </w:rPr>
            </w:pPr>
            <w:r>
              <w:rPr>
                <w:b/>
              </w:rPr>
              <w:t>$68.00</w:t>
            </w:r>
          </w:p>
        </w:tc>
      </w:tr>
      <w:tr w:rsidR="00E81019" w:rsidTr="00861CD7">
        <w:tc>
          <w:tcPr>
            <w:tcW w:w="2605" w:type="dxa"/>
          </w:tcPr>
          <w:p w:rsidR="00E81019" w:rsidRPr="00E55813" w:rsidRDefault="00E81019" w:rsidP="00861CD7">
            <w:pPr>
              <w:rPr>
                <w:b/>
              </w:rPr>
            </w:pPr>
            <w:r>
              <w:rPr>
                <w:b/>
              </w:rPr>
              <w:t>FT. Lauderdale Boat Show</w:t>
            </w:r>
          </w:p>
        </w:tc>
        <w:tc>
          <w:tcPr>
            <w:tcW w:w="2070" w:type="dxa"/>
          </w:tcPr>
          <w:p w:rsidR="00E81019" w:rsidRPr="00E55813" w:rsidRDefault="00E81019" w:rsidP="00861CD7">
            <w:pPr>
              <w:rPr>
                <w:b/>
              </w:rPr>
            </w:pPr>
            <w:r>
              <w:rPr>
                <w:b/>
              </w:rPr>
              <w:t>11/01-12/05/2018</w:t>
            </w:r>
          </w:p>
        </w:tc>
        <w:tc>
          <w:tcPr>
            <w:tcW w:w="2250" w:type="dxa"/>
          </w:tcPr>
          <w:p w:rsidR="00E81019" w:rsidRPr="00E55813" w:rsidRDefault="00E81019" w:rsidP="00861CD7">
            <w:pPr>
              <w:rPr>
                <w:b/>
              </w:rPr>
            </w:pPr>
            <w:r>
              <w:rPr>
                <w:b/>
              </w:rPr>
              <w:t>$63.00</w:t>
            </w:r>
          </w:p>
        </w:tc>
        <w:tc>
          <w:tcPr>
            <w:tcW w:w="2425" w:type="dxa"/>
          </w:tcPr>
          <w:p w:rsidR="00E81019" w:rsidRPr="00E55813" w:rsidRDefault="00E81019" w:rsidP="00861CD7">
            <w:pPr>
              <w:rPr>
                <w:b/>
              </w:rPr>
            </w:pPr>
            <w:r>
              <w:rPr>
                <w:b/>
              </w:rPr>
              <w:t>$68.00</w:t>
            </w:r>
          </w:p>
        </w:tc>
      </w:tr>
      <w:tr w:rsidR="00E81019" w:rsidTr="00861CD7">
        <w:tc>
          <w:tcPr>
            <w:tcW w:w="2605" w:type="dxa"/>
          </w:tcPr>
          <w:p w:rsidR="00E81019" w:rsidRPr="00E55813" w:rsidRDefault="00E81019" w:rsidP="00861CD7">
            <w:pPr>
              <w:rPr>
                <w:b/>
              </w:rPr>
            </w:pPr>
            <w:r>
              <w:rPr>
                <w:b/>
              </w:rPr>
              <w:t>Christmas &amp; New Years</w:t>
            </w:r>
          </w:p>
        </w:tc>
        <w:tc>
          <w:tcPr>
            <w:tcW w:w="2070" w:type="dxa"/>
          </w:tcPr>
          <w:p w:rsidR="00E81019" w:rsidRPr="00E55813" w:rsidRDefault="00E81019" w:rsidP="00861CD7">
            <w:pPr>
              <w:rPr>
                <w:b/>
              </w:rPr>
            </w:pPr>
            <w:r>
              <w:rPr>
                <w:b/>
              </w:rPr>
              <w:t>12/24/-01/01/2019</w:t>
            </w:r>
          </w:p>
        </w:tc>
        <w:tc>
          <w:tcPr>
            <w:tcW w:w="2250" w:type="dxa"/>
          </w:tcPr>
          <w:p w:rsidR="00E81019" w:rsidRPr="008660B7" w:rsidRDefault="00E81019" w:rsidP="00861CD7">
            <w:pPr>
              <w:rPr>
                <w:b/>
              </w:rPr>
            </w:pPr>
            <w:r>
              <w:rPr>
                <w:b/>
              </w:rPr>
              <w:t>$105.00</w:t>
            </w:r>
          </w:p>
        </w:tc>
        <w:tc>
          <w:tcPr>
            <w:tcW w:w="2425" w:type="dxa"/>
          </w:tcPr>
          <w:p w:rsidR="00E81019" w:rsidRPr="008660B7" w:rsidRDefault="00E81019" w:rsidP="00861CD7">
            <w:pPr>
              <w:rPr>
                <w:b/>
              </w:rPr>
            </w:pPr>
            <w:r>
              <w:rPr>
                <w:b/>
              </w:rPr>
              <w:t>$115.00</w:t>
            </w:r>
          </w:p>
        </w:tc>
      </w:tr>
      <w:tr w:rsidR="00E81019" w:rsidTr="00861CD7">
        <w:tc>
          <w:tcPr>
            <w:tcW w:w="2605" w:type="dxa"/>
          </w:tcPr>
          <w:p w:rsidR="00E81019" w:rsidRDefault="00E81019" w:rsidP="00861CD7">
            <w:pPr>
              <w:rPr>
                <w:b/>
              </w:rPr>
            </w:pPr>
            <w:r>
              <w:rPr>
                <w:b/>
              </w:rPr>
              <w:t>Presidents Day Weekend</w:t>
            </w:r>
          </w:p>
        </w:tc>
        <w:tc>
          <w:tcPr>
            <w:tcW w:w="2070" w:type="dxa"/>
          </w:tcPr>
          <w:p w:rsidR="00E81019" w:rsidRDefault="00E81019" w:rsidP="00861CD7">
            <w:pPr>
              <w:rPr>
                <w:b/>
              </w:rPr>
            </w:pPr>
            <w:r>
              <w:rPr>
                <w:b/>
              </w:rPr>
              <w:t>02/15-18/2019</w:t>
            </w:r>
          </w:p>
        </w:tc>
        <w:tc>
          <w:tcPr>
            <w:tcW w:w="2250" w:type="dxa"/>
          </w:tcPr>
          <w:p w:rsidR="00E81019" w:rsidRDefault="00E81019" w:rsidP="00861CD7">
            <w:pPr>
              <w:rPr>
                <w:b/>
              </w:rPr>
            </w:pPr>
            <w:r>
              <w:rPr>
                <w:b/>
              </w:rPr>
              <w:t>$88.00</w:t>
            </w:r>
          </w:p>
        </w:tc>
        <w:tc>
          <w:tcPr>
            <w:tcW w:w="2425" w:type="dxa"/>
          </w:tcPr>
          <w:p w:rsidR="00E81019" w:rsidRDefault="00E81019" w:rsidP="00861CD7">
            <w:pPr>
              <w:rPr>
                <w:b/>
              </w:rPr>
            </w:pPr>
            <w:r>
              <w:rPr>
                <w:b/>
              </w:rPr>
              <w:t>$99.00</w:t>
            </w:r>
          </w:p>
        </w:tc>
      </w:tr>
    </w:tbl>
    <w:p w:rsidR="00E81019" w:rsidRDefault="00E81019" w:rsidP="00E81019">
      <w:pPr>
        <w:spacing w:after="0"/>
        <w:rPr>
          <w:b/>
          <w:u w:val="single"/>
        </w:rPr>
      </w:pPr>
    </w:p>
    <w:p w:rsidR="00E81019" w:rsidRDefault="00E81019" w:rsidP="00E81019">
      <w:pPr>
        <w:spacing w:after="0"/>
        <w:rPr>
          <w:b/>
          <w:u w:val="single"/>
        </w:rPr>
      </w:pPr>
    </w:p>
    <w:p w:rsidR="00E81019" w:rsidRDefault="00E81019" w:rsidP="00E81019">
      <w:pPr>
        <w:spacing w:after="0"/>
        <w:rPr>
          <w:b/>
          <w:u w:val="single"/>
        </w:rPr>
      </w:pPr>
      <w:r>
        <w:rPr>
          <w:b/>
          <w:u w:val="single"/>
        </w:rPr>
        <w:lastRenderedPageBreak/>
        <w:t>RATES:</w:t>
      </w:r>
    </w:p>
    <w:p w:rsidR="00E81019" w:rsidRDefault="00E81019" w:rsidP="00E81019">
      <w:pPr>
        <w:spacing w:after="0"/>
      </w:pPr>
      <w:r>
        <w:t>Rates are US$ for Run-of-house (ROH) Standard Room category, per room, per night, net, non-commissionable.  The maximum occupancy is 4 persons, existing bedding; rooms may have two double beds or one king bed and/or a sleeper sofa.</w:t>
      </w:r>
    </w:p>
    <w:p w:rsidR="00E81019" w:rsidRDefault="00E81019" w:rsidP="00E81019">
      <w:pPr>
        <w:pStyle w:val="ListParagraph"/>
        <w:numPr>
          <w:ilvl w:val="0"/>
          <w:numId w:val="3"/>
        </w:numPr>
        <w:spacing w:after="0"/>
      </w:pPr>
      <w:r>
        <w:t>Cribs: On request, at no charge, subject to availability</w:t>
      </w:r>
    </w:p>
    <w:p w:rsidR="00E81019" w:rsidRDefault="00E81019" w:rsidP="00E81019">
      <w:pPr>
        <w:pStyle w:val="ListParagraph"/>
        <w:numPr>
          <w:ilvl w:val="0"/>
          <w:numId w:val="3"/>
        </w:numPr>
        <w:spacing w:after="0"/>
      </w:pPr>
      <w:r>
        <w:t>Rollaway Beds: $15.00 per room per night plus tax</w:t>
      </w:r>
    </w:p>
    <w:p w:rsidR="00E81019" w:rsidRDefault="00E81019" w:rsidP="00E81019">
      <w:r w:rsidRPr="00F31DDB">
        <w:rPr>
          <w:highlight w:val="yellow"/>
        </w:rPr>
        <w:t>Early Booking Special” - 10% off starting Mach 15</w:t>
      </w:r>
      <w:r w:rsidRPr="00F31DDB">
        <w:rPr>
          <w:highlight w:val="yellow"/>
          <w:vertAlign w:val="superscript"/>
        </w:rPr>
        <w:t>th</w:t>
      </w:r>
      <w:r w:rsidRPr="00F31DDB">
        <w:rPr>
          <w:highlight w:val="yellow"/>
        </w:rPr>
        <w:t xml:space="preserve"> until end of April 30th for stays through September 30</w:t>
      </w:r>
      <w:r w:rsidRPr="00F31DDB">
        <w:rPr>
          <w:highlight w:val="yellow"/>
          <w:vertAlign w:val="superscript"/>
        </w:rPr>
        <w:t>th</w:t>
      </w:r>
      <w:r w:rsidRPr="00F31DDB">
        <w:rPr>
          <w:highlight w:val="yellow"/>
        </w:rPr>
        <w:t>, 2018.</w:t>
      </w:r>
    </w:p>
    <w:p w:rsidR="003F0185" w:rsidRDefault="003F0185" w:rsidP="003F0185">
      <w:pPr>
        <w:spacing w:after="0"/>
        <w:rPr>
          <w:b/>
          <w:u w:val="single"/>
        </w:rPr>
      </w:pPr>
      <w:r>
        <w:rPr>
          <w:b/>
          <w:u w:val="single"/>
        </w:rPr>
        <w:t>FAMILY PLAN:</w:t>
      </w:r>
    </w:p>
    <w:p w:rsidR="003F0185" w:rsidRDefault="003F0185" w:rsidP="003F0185">
      <w:pPr>
        <w:spacing w:after="0"/>
      </w:pPr>
      <w:r>
        <w:t>Children 17 years and under stay free when occupying the same room as their guardian and using existing bedding.</w:t>
      </w:r>
    </w:p>
    <w:p w:rsidR="005E1F8C" w:rsidRDefault="005E1F8C" w:rsidP="003F0185">
      <w:pPr>
        <w:spacing w:after="0"/>
        <w:rPr>
          <w:b/>
          <w:u w:val="single"/>
        </w:rPr>
      </w:pPr>
    </w:p>
    <w:p w:rsidR="003F0185" w:rsidRDefault="003F0185" w:rsidP="003F0185">
      <w:pPr>
        <w:spacing w:after="0"/>
        <w:rPr>
          <w:b/>
          <w:u w:val="single"/>
        </w:rPr>
      </w:pPr>
      <w:r>
        <w:rPr>
          <w:b/>
          <w:u w:val="single"/>
        </w:rPr>
        <w:t>TAX:</w:t>
      </w:r>
    </w:p>
    <w:p w:rsidR="003F0185" w:rsidRDefault="003F0185" w:rsidP="003F0185">
      <w:pPr>
        <w:spacing w:after="0"/>
      </w:pPr>
      <w:r>
        <w:t>Florida State Sales tax is 6% and Occupancy Tax is 5% (total of 11%) and is not included in the rate.  Taxes are subject to change without notice.</w:t>
      </w:r>
    </w:p>
    <w:p w:rsidR="00D75D36" w:rsidRDefault="00D75D36" w:rsidP="003F0185">
      <w:pPr>
        <w:spacing w:after="0"/>
        <w:rPr>
          <w:b/>
          <w:u w:val="single"/>
        </w:rPr>
      </w:pPr>
    </w:p>
    <w:p w:rsidR="003F0185" w:rsidRDefault="005E1F8C" w:rsidP="003F0185">
      <w:pPr>
        <w:spacing w:after="0"/>
        <w:rPr>
          <w:b/>
          <w:u w:val="single"/>
        </w:rPr>
      </w:pPr>
      <w:r>
        <w:rPr>
          <w:b/>
          <w:u w:val="single"/>
        </w:rPr>
        <w:t>RESORT FEE</w:t>
      </w:r>
      <w:r w:rsidR="003F0185">
        <w:rPr>
          <w:b/>
          <w:u w:val="single"/>
        </w:rPr>
        <w:t>:</w:t>
      </w:r>
    </w:p>
    <w:p w:rsidR="003F0185" w:rsidRDefault="003F0185" w:rsidP="003F0185">
      <w:pPr>
        <w:spacing w:after="0"/>
      </w:pPr>
      <w:r>
        <w:t>A Resort Service Fee of $15.00 per room, per night plus taxes will be the responsibility of each guest.  Resort Fee is subject to change without notice.</w:t>
      </w:r>
    </w:p>
    <w:p w:rsidR="005E1F8C" w:rsidRDefault="005E1F8C" w:rsidP="003F0185">
      <w:pPr>
        <w:spacing w:after="0"/>
        <w:rPr>
          <w:b/>
          <w:u w:val="single"/>
        </w:rPr>
      </w:pPr>
    </w:p>
    <w:p w:rsidR="003F0185" w:rsidRDefault="003F0185" w:rsidP="003F0185">
      <w:pPr>
        <w:spacing w:after="0"/>
        <w:rPr>
          <w:b/>
          <w:u w:val="single"/>
        </w:rPr>
      </w:pPr>
      <w:r>
        <w:rPr>
          <w:b/>
          <w:u w:val="single"/>
        </w:rPr>
        <w:t>GROUP REQUEST:</w:t>
      </w:r>
    </w:p>
    <w:p w:rsidR="003F0185" w:rsidRDefault="003F0185" w:rsidP="003F0185">
      <w:pPr>
        <w:spacing w:after="0"/>
      </w:pPr>
      <w:r>
        <w:t xml:space="preserve">Net rates do not apply to groups.  Group request of 10 or more rooms should be emailed to </w:t>
      </w:r>
      <w:hyperlink r:id="rId8" w:history="1">
        <w:r w:rsidRPr="00DF75F3">
          <w:rPr>
            <w:rStyle w:val="Hyperlink"/>
          </w:rPr>
          <w:t>AFasano@sawgrassgrand.com</w:t>
        </w:r>
      </w:hyperlink>
    </w:p>
    <w:p w:rsidR="005E1F8C" w:rsidRDefault="005E1F8C" w:rsidP="003F0185">
      <w:pPr>
        <w:spacing w:after="0"/>
        <w:rPr>
          <w:b/>
          <w:u w:val="single"/>
        </w:rPr>
      </w:pPr>
    </w:p>
    <w:p w:rsidR="003F0185" w:rsidRDefault="003F0185" w:rsidP="003F0185">
      <w:pPr>
        <w:spacing w:after="0"/>
        <w:rPr>
          <w:b/>
          <w:u w:val="single"/>
        </w:rPr>
      </w:pPr>
      <w:r>
        <w:rPr>
          <w:b/>
          <w:u w:val="single"/>
        </w:rPr>
        <w:t>CANCELLATION, NO-SHOW &amp; EARLY CHECK-OUT POLICY:</w:t>
      </w:r>
    </w:p>
    <w:p w:rsidR="003F0185" w:rsidRDefault="003F0185" w:rsidP="003F0185">
      <w:pPr>
        <w:pStyle w:val="ListParagraph"/>
        <w:numPr>
          <w:ilvl w:val="0"/>
          <w:numId w:val="1"/>
        </w:numPr>
        <w:spacing w:after="0"/>
      </w:pPr>
      <w:r>
        <w:t xml:space="preserve">Individual cancellations must be reported in writing 24 hours prior to the scheduled arrival date.  All cancellations require a cancellation number from the hotel.  Cancellations within 4 </w:t>
      </w:r>
      <w:proofErr w:type="spellStart"/>
      <w:r>
        <w:t>hrs</w:t>
      </w:r>
      <w:proofErr w:type="spellEnd"/>
      <w:r>
        <w:t xml:space="preserve"> will be assessed a one (1) night room &amp; tax charge.</w:t>
      </w:r>
    </w:p>
    <w:p w:rsidR="003F0185" w:rsidRDefault="003F0185" w:rsidP="003F0185">
      <w:pPr>
        <w:pStyle w:val="ListParagraph"/>
        <w:numPr>
          <w:ilvl w:val="0"/>
          <w:numId w:val="1"/>
        </w:numPr>
        <w:spacing w:after="0"/>
      </w:pPr>
      <w:r>
        <w:t>All no-shows will be assessed one (1) nights room &amp; tax charge.</w:t>
      </w:r>
    </w:p>
    <w:p w:rsidR="003F0185" w:rsidRDefault="003F0185" w:rsidP="003F0185">
      <w:pPr>
        <w:pStyle w:val="ListParagraph"/>
        <w:numPr>
          <w:ilvl w:val="0"/>
          <w:numId w:val="1"/>
        </w:numPr>
        <w:spacing w:after="0"/>
      </w:pPr>
      <w:r>
        <w:t>Early check-outs will be assessed one (1) nights room &amp; tax charge.</w:t>
      </w:r>
    </w:p>
    <w:p w:rsidR="005E1F8C" w:rsidRDefault="005E1F8C" w:rsidP="005E1F8C">
      <w:pPr>
        <w:spacing w:after="0"/>
        <w:rPr>
          <w:b/>
          <w:u w:val="single"/>
        </w:rPr>
      </w:pPr>
    </w:p>
    <w:p w:rsidR="005E1F8C" w:rsidRDefault="005E1F8C" w:rsidP="005E1F8C">
      <w:pPr>
        <w:spacing w:after="0"/>
        <w:rPr>
          <w:b/>
          <w:u w:val="single"/>
        </w:rPr>
      </w:pPr>
      <w:r>
        <w:rPr>
          <w:b/>
          <w:u w:val="single"/>
        </w:rPr>
        <w:t>GUEST ARRIVAL &amp; DEPARTURE:</w:t>
      </w:r>
    </w:p>
    <w:p w:rsidR="005E1F8C" w:rsidRDefault="005E1F8C" w:rsidP="005E1F8C">
      <w:pPr>
        <w:spacing w:after="0"/>
      </w:pPr>
      <w:r>
        <w:t>Hotel check-in is at 3:00 PM and check-out is at 11:00 AM.  Guest must be 21 years of age or older in order to check-in, valid picture ID is required.  Guests are required to provide the hotel with a major credit card or a cash deposit at check-in for incidentals charges they may incur.</w:t>
      </w:r>
    </w:p>
    <w:p w:rsidR="005E1F8C" w:rsidRPr="005E1F8C" w:rsidRDefault="005E1F8C" w:rsidP="005E1F8C">
      <w:pPr>
        <w:spacing w:after="0"/>
      </w:pPr>
    </w:p>
    <w:p w:rsidR="003F0185" w:rsidRDefault="005E1F8C" w:rsidP="003F0185">
      <w:pPr>
        <w:spacing w:after="0"/>
        <w:rPr>
          <w:b/>
          <w:u w:val="single"/>
        </w:rPr>
      </w:pPr>
      <w:r>
        <w:rPr>
          <w:b/>
          <w:u w:val="single"/>
        </w:rPr>
        <w:t>RESERVATION PROCEDURES:</w:t>
      </w:r>
    </w:p>
    <w:p w:rsidR="005E1F8C" w:rsidRDefault="005E1F8C" w:rsidP="003F0185">
      <w:pPr>
        <w:spacing w:after="0"/>
      </w:pPr>
      <w:r>
        <w:t xml:space="preserve">Reservation should be sent via email to </w:t>
      </w:r>
      <w:hyperlink r:id="rId9" w:history="1">
        <w:r w:rsidRPr="00DF75F3">
          <w:rPr>
            <w:rStyle w:val="Hyperlink"/>
            <w:b/>
          </w:rPr>
          <w:t>Reservations@sawgrassgrand.com</w:t>
        </w:r>
      </w:hyperlink>
      <w:r>
        <w:t>; individual reservations must include the full legal name of guest(s), arrival and departure dates, children’s ages when applicable and inclusions.  All reservations require a reservation number from the hotel and it must be included in the guest travel document and/</w:t>
      </w:r>
      <w:proofErr w:type="spellStart"/>
      <w:r>
        <w:t>our</w:t>
      </w:r>
      <w:proofErr w:type="spellEnd"/>
      <w:r>
        <w:t xml:space="preserve"> voucher.</w:t>
      </w:r>
    </w:p>
    <w:p w:rsidR="005E1F8C" w:rsidRDefault="005E1F8C" w:rsidP="003F0185">
      <w:pPr>
        <w:spacing w:after="0"/>
      </w:pPr>
    </w:p>
    <w:p w:rsidR="00E81019" w:rsidRDefault="00E81019" w:rsidP="003F0185">
      <w:pPr>
        <w:spacing w:after="0"/>
        <w:rPr>
          <w:b/>
          <w:u w:val="single"/>
        </w:rPr>
      </w:pPr>
    </w:p>
    <w:p w:rsidR="00E81019" w:rsidRDefault="00E81019" w:rsidP="003F0185">
      <w:pPr>
        <w:spacing w:after="0"/>
        <w:rPr>
          <w:b/>
          <w:u w:val="single"/>
        </w:rPr>
      </w:pPr>
    </w:p>
    <w:p w:rsidR="005E1F8C" w:rsidRDefault="005E1F8C" w:rsidP="003F0185">
      <w:pPr>
        <w:spacing w:after="0"/>
        <w:rPr>
          <w:b/>
          <w:u w:val="single"/>
        </w:rPr>
      </w:pPr>
      <w:r>
        <w:rPr>
          <w:b/>
          <w:u w:val="single"/>
        </w:rPr>
        <w:lastRenderedPageBreak/>
        <w:t>PAYMENT:</w:t>
      </w:r>
    </w:p>
    <w:p w:rsidR="005E1F8C" w:rsidRPr="005E1F8C" w:rsidRDefault="005E1F8C" w:rsidP="005E1F8C">
      <w:pPr>
        <w:pStyle w:val="ListParagraph"/>
        <w:numPr>
          <w:ilvl w:val="0"/>
          <w:numId w:val="2"/>
        </w:numPr>
        <w:spacing w:after="0"/>
        <w:rPr>
          <w:b/>
          <w:u w:val="single"/>
        </w:rPr>
      </w:pPr>
      <w:proofErr w:type="spellStart"/>
      <w:r w:rsidRPr="005E1F8C">
        <w:rPr>
          <w:b/>
        </w:rPr>
        <w:t>Vcard</w:t>
      </w:r>
      <w:proofErr w:type="spellEnd"/>
      <w:r>
        <w:t xml:space="preserve"> – a virtual credit card will be provided at the time of the reservation to be charged in full for room &amp; tax upon guest departure.</w:t>
      </w:r>
    </w:p>
    <w:p w:rsidR="005E1F8C" w:rsidRPr="008C0D60" w:rsidRDefault="005E1F8C" w:rsidP="005E1F8C">
      <w:pPr>
        <w:pStyle w:val="ListParagraph"/>
        <w:numPr>
          <w:ilvl w:val="0"/>
          <w:numId w:val="2"/>
        </w:numPr>
        <w:spacing w:after="0"/>
        <w:rPr>
          <w:b/>
          <w:u w:val="single"/>
        </w:rPr>
      </w:pPr>
      <w:r w:rsidRPr="005E1F8C">
        <w:rPr>
          <w:b/>
        </w:rPr>
        <w:t>Direct Billing</w:t>
      </w:r>
      <w:r>
        <w:t xml:space="preserve"> – Providing credit approval, the hotel will invoice the wholesaler for room, tax, as well as cancellation, no-show and early departure charges.  Payment is due thirty (30) days from receipt of invoice.  In the event bills are not paid within this 30 days period, a 1 ½% per month late payment charge may be assessed.</w:t>
      </w:r>
      <w:r w:rsidR="008C0D60">
        <w:t xml:space="preserve">  In the event of billing discrepancies, it is agreed that the hotel billing is correct as billed unless the discrepancies are mutually agreed upon and settled in writing within 30 days from date of invoice.</w:t>
      </w:r>
    </w:p>
    <w:p w:rsidR="008C0D60" w:rsidRPr="008C0D60" w:rsidRDefault="008C0D60" w:rsidP="005E1F8C">
      <w:pPr>
        <w:pStyle w:val="ListParagraph"/>
        <w:numPr>
          <w:ilvl w:val="0"/>
          <w:numId w:val="2"/>
        </w:numPr>
        <w:spacing w:after="0"/>
        <w:rPr>
          <w:b/>
          <w:u w:val="single"/>
        </w:rPr>
      </w:pPr>
      <w:r>
        <w:rPr>
          <w:b/>
          <w:u w:val="single"/>
        </w:rPr>
        <w:t xml:space="preserve">Pre-payment </w:t>
      </w:r>
      <w:r>
        <w:t xml:space="preserve">– Full payment of room and tax must be received by the hotel seven (7) days prior to the guest arrival if paid via credit card.  Please email credit card authorization form to </w:t>
      </w:r>
      <w:hyperlink r:id="rId10" w:history="1">
        <w:r w:rsidRPr="00DF75F3">
          <w:rPr>
            <w:rStyle w:val="Hyperlink"/>
          </w:rPr>
          <w:t>reservations@sawgrassgrand.com</w:t>
        </w:r>
      </w:hyperlink>
      <w:r>
        <w:t xml:space="preserve">.  If paid by company check, payment is required 15 days prior to the guest arrival.  Please mail the check to: 3003 N. University Drive, Sunrise, FL  33322, ATTN: Accounts Receivables.  Email all inquiries to </w:t>
      </w:r>
      <w:hyperlink r:id="rId11" w:history="1">
        <w:r w:rsidRPr="00DF75F3">
          <w:rPr>
            <w:rStyle w:val="Hyperlink"/>
          </w:rPr>
          <w:t>accounting@sawgrassgrand.com</w:t>
        </w:r>
      </w:hyperlink>
      <w:r>
        <w:t>.</w:t>
      </w:r>
    </w:p>
    <w:p w:rsidR="008C0D60" w:rsidRDefault="008C0D60" w:rsidP="008C0D60">
      <w:pPr>
        <w:spacing w:after="0"/>
        <w:rPr>
          <w:b/>
          <w:u w:val="single"/>
        </w:rPr>
      </w:pPr>
    </w:p>
    <w:p w:rsidR="008C0D60" w:rsidRDefault="008C0D60" w:rsidP="008C0D60">
      <w:pPr>
        <w:spacing w:after="0"/>
        <w:rPr>
          <w:b/>
          <w:u w:val="single"/>
        </w:rPr>
      </w:pPr>
      <w:r>
        <w:rPr>
          <w:b/>
          <w:u w:val="single"/>
        </w:rPr>
        <w:t>TRAVEL DOCUMENT/VOUCHER:</w:t>
      </w:r>
    </w:p>
    <w:p w:rsidR="008C0D60" w:rsidRDefault="008C0D60" w:rsidP="008C0D60">
      <w:pPr>
        <w:spacing w:after="0"/>
      </w:pPr>
      <w:r>
        <w:t>All travel documents and/or vouchers provided to the guest by their booking agent must clearly specify all inclusions pre-paid by the guest; i.e. room type, upgrades, meals, taxes and resort fee.  Guest will be charged for all fees not clearly identified as prepaid on their travel documents and/or vouchers.</w:t>
      </w:r>
    </w:p>
    <w:p w:rsidR="008C0D60" w:rsidRDefault="008C0D60" w:rsidP="008C0D60">
      <w:pPr>
        <w:spacing w:after="0"/>
      </w:pPr>
    </w:p>
    <w:p w:rsidR="008C0D60" w:rsidRDefault="008C0D60" w:rsidP="008C0D60">
      <w:pPr>
        <w:spacing w:after="0"/>
        <w:rPr>
          <w:b/>
          <w:u w:val="single"/>
        </w:rPr>
      </w:pPr>
      <w:r>
        <w:rPr>
          <w:b/>
          <w:u w:val="single"/>
        </w:rPr>
        <w:t>FORCE MAJEURE CLAUSE:</w:t>
      </w:r>
    </w:p>
    <w:p w:rsidR="008C0D60" w:rsidRDefault="008C0D60" w:rsidP="008C0D60">
      <w:pPr>
        <w:spacing w:after="0"/>
      </w:pPr>
      <w:r>
        <w:t xml:space="preserve">Either party will have no liability under this agreement in the event of force majeure, acts of God or other circumstances without limitations arising (which shall </w:t>
      </w:r>
      <w:r w:rsidR="0024267E">
        <w:t>without prejudice to the generalit</w:t>
      </w:r>
      <w:r>
        <w:t xml:space="preserve">y of the forgoing </w:t>
      </w:r>
      <w:r w:rsidR="0024267E">
        <w:t>include weather, epidemic, fire, labor disputes, government regulations or other damage to the hotel) which would render it unsafe for the Tour Operator to send clients to the hotel.</w:t>
      </w:r>
    </w:p>
    <w:p w:rsidR="0024267E" w:rsidRDefault="0024267E" w:rsidP="008C0D60">
      <w:pPr>
        <w:spacing w:after="0"/>
      </w:pPr>
    </w:p>
    <w:p w:rsidR="0024267E" w:rsidRDefault="0024267E" w:rsidP="008C0D60">
      <w:pPr>
        <w:spacing w:after="0"/>
        <w:rPr>
          <w:b/>
          <w:u w:val="single"/>
        </w:rPr>
      </w:pPr>
      <w:r>
        <w:rPr>
          <w:b/>
          <w:u w:val="single"/>
        </w:rPr>
        <w:t>RELOCATION POLICY:</w:t>
      </w:r>
    </w:p>
    <w:p w:rsidR="0024267E" w:rsidRDefault="0024267E" w:rsidP="008C0D60">
      <w:pPr>
        <w:spacing w:after="0"/>
      </w:pPr>
      <w:r>
        <w:t>Should unforeseen circumstance arise, the hotel reserves the right to relocate a confirmed reservation to another property of equal or greater category, at the hotel expense.</w:t>
      </w:r>
    </w:p>
    <w:p w:rsidR="0024267E" w:rsidRDefault="0024267E" w:rsidP="008C0D60">
      <w:pPr>
        <w:spacing w:after="0"/>
      </w:pPr>
    </w:p>
    <w:p w:rsidR="0024267E" w:rsidRDefault="0024267E" w:rsidP="008C0D60">
      <w:pPr>
        <w:spacing w:after="0"/>
        <w:rPr>
          <w:b/>
          <w:u w:val="single"/>
        </w:rPr>
      </w:pPr>
      <w:r>
        <w:rPr>
          <w:b/>
          <w:u w:val="single"/>
        </w:rPr>
        <w:t>PERFORMANCE:</w:t>
      </w:r>
    </w:p>
    <w:p w:rsidR="0024267E" w:rsidRDefault="0024267E" w:rsidP="008C0D60">
      <w:pPr>
        <w:spacing w:after="0"/>
      </w:pPr>
      <w:r>
        <w:t>Production is evaluated annually and a minimum annual production of 250 room nights is required in order to qualify for a contract renewal.</w:t>
      </w:r>
    </w:p>
    <w:p w:rsidR="0024267E" w:rsidRDefault="0024267E" w:rsidP="008C0D60">
      <w:pPr>
        <w:spacing w:after="0"/>
      </w:pPr>
    </w:p>
    <w:p w:rsidR="0024267E" w:rsidRDefault="0024267E" w:rsidP="008C0D60">
      <w:pPr>
        <w:spacing w:after="0"/>
        <w:rPr>
          <w:b/>
          <w:u w:val="single"/>
        </w:rPr>
      </w:pPr>
      <w:r>
        <w:rPr>
          <w:b/>
          <w:u w:val="single"/>
        </w:rPr>
        <w:t>ENDORSEMENT:</w:t>
      </w:r>
    </w:p>
    <w:p w:rsidR="0024267E" w:rsidRDefault="0024267E" w:rsidP="008C0D60">
      <w:pPr>
        <w:spacing w:after="0"/>
      </w:pPr>
      <w:r>
        <w:t>I, the undersigned, acting as representative for the wholesaler, fully understand and agree to be bound by the terms and conditions contained herein.</w:t>
      </w:r>
    </w:p>
    <w:tbl>
      <w:tblPr>
        <w:tblStyle w:val="TableGrid"/>
        <w:tblW w:w="0" w:type="auto"/>
        <w:tblLook w:val="04A0" w:firstRow="1" w:lastRow="0" w:firstColumn="1" w:lastColumn="0" w:noHBand="0" w:noVBand="1"/>
      </w:tblPr>
      <w:tblGrid>
        <w:gridCol w:w="4675"/>
        <w:gridCol w:w="4675"/>
      </w:tblGrid>
      <w:tr w:rsidR="0024267E" w:rsidTr="00E81019">
        <w:tc>
          <w:tcPr>
            <w:tcW w:w="4675" w:type="dxa"/>
            <w:shd w:val="clear" w:color="auto" w:fill="00B0F0"/>
          </w:tcPr>
          <w:p w:rsidR="0024267E" w:rsidRPr="0024267E" w:rsidRDefault="006A4BCB" w:rsidP="006A4BCB">
            <w:pPr>
              <w:rPr>
                <w:b/>
              </w:rPr>
            </w:pPr>
            <w:r>
              <w:rPr>
                <w:b/>
              </w:rPr>
              <w:t xml:space="preserve">Ocean Holidays </w:t>
            </w:r>
          </w:p>
        </w:tc>
        <w:tc>
          <w:tcPr>
            <w:tcW w:w="4675" w:type="dxa"/>
            <w:shd w:val="clear" w:color="auto" w:fill="00B0F0"/>
          </w:tcPr>
          <w:p w:rsidR="0024267E" w:rsidRPr="0024267E" w:rsidRDefault="0024267E" w:rsidP="008C0D60">
            <w:pPr>
              <w:rPr>
                <w:b/>
              </w:rPr>
            </w:pPr>
            <w:r>
              <w:rPr>
                <w:b/>
              </w:rPr>
              <w:t>HOTEL: Sawgrass Grand Hotel</w:t>
            </w:r>
          </w:p>
        </w:tc>
      </w:tr>
      <w:tr w:rsidR="0024267E" w:rsidTr="0024267E">
        <w:tc>
          <w:tcPr>
            <w:tcW w:w="4675" w:type="dxa"/>
          </w:tcPr>
          <w:p w:rsidR="0024267E" w:rsidRDefault="0024267E" w:rsidP="008C0D60"/>
          <w:p w:rsidR="0024267E" w:rsidRDefault="0024267E" w:rsidP="008C0D60"/>
          <w:p w:rsidR="0024267E" w:rsidRDefault="0024267E" w:rsidP="008C0D60">
            <w:r>
              <w:t>X</w:t>
            </w:r>
          </w:p>
        </w:tc>
        <w:tc>
          <w:tcPr>
            <w:tcW w:w="4675" w:type="dxa"/>
          </w:tcPr>
          <w:p w:rsidR="0024267E" w:rsidRDefault="0024267E" w:rsidP="008C0D60"/>
          <w:p w:rsidR="0024267E" w:rsidRDefault="0084378A" w:rsidP="008C0D60">
            <w:r w:rsidRPr="00B502FC">
              <w:rPr>
                <w:noProof/>
                <w:lang w:val="en-GB" w:eastAsia="en-GB"/>
              </w:rPr>
              <w:drawing>
                <wp:inline distT="0" distB="0" distL="0" distR="0">
                  <wp:extent cx="998220" cy="251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220" cy="251460"/>
                          </a:xfrm>
                          <a:prstGeom prst="rect">
                            <a:avLst/>
                          </a:prstGeom>
                          <a:noFill/>
                          <a:ln>
                            <a:noFill/>
                          </a:ln>
                        </pic:spPr>
                      </pic:pic>
                    </a:graphicData>
                  </a:graphic>
                </wp:inline>
              </w:drawing>
            </w:r>
          </w:p>
          <w:p w:rsidR="0024267E" w:rsidRDefault="0024267E" w:rsidP="008C0D60">
            <w:r>
              <w:t>X</w:t>
            </w:r>
          </w:p>
        </w:tc>
      </w:tr>
      <w:tr w:rsidR="0024267E" w:rsidTr="0024267E">
        <w:tc>
          <w:tcPr>
            <w:tcW w:w="4675" w:type="dxa"/>
          </w:tcPr>
          <w:p w:rsidR="0024267E" w:rsidRDefault="0024267E" w:rsidP="008C0D60">
            <w:r>
              <w:t>Signature</w:t>
            </w:r>
          </w:p>
        </w:tc>
        <w:tc>
          <w:tcPr>
            <w:tcW w:w="4675" w:type="dxa"/>
          </w:tcPr>
          <w:p w:rsidR="0024267E" w:rsidRDefault="0024267E" w:rsidP="008C0D60">
            <w:proofErr w:type="gramStart"/>
            <w:r>
              <w:t>Signature</w:t>
            </w:r>
            <w:r w:rsidR="0084378A">
              <w:t xml:space="preserve">  Simon</w:t>
            </w:r>
            <w:proofErr w:type="gramEnd"/>
            <w:r w:rsidR="0084378A">
              <w:t xml:space="preserve"> Hilton</w:t>
            </w:r>
          </w:p>
        </w:tc>
      </w:tr>
      <w:tr w:rsidR="0024267E" w:rsidTr="0024267E">
        <w:tc>
          <w:tcPr>
            <w:tcW w:w="4675" w:type="dxa"/>
          </w:tcPr>
          <w:p w:rsidR="0024267E" w:rsidRDefault="0024267E" w:rsidP="008C0D60">
            <w:r>
              <w:t>Date:</w:t>
            </w:r>
          </w:p>
        </w:tc>
        <w:tc>
          <w:tcPr>
            <w:tcW w:w="4675" w:type="dxa"/>
          </w:tcPr>
          <w:p w:rsidR="0024267E" w:rsidRDefault="0024267E" w:rsidP="008C0D60">
            <w:r>
              <w:t>Date:</w:t>
            </w:r>
            <w:r w:rsidR="0084378A">
              <w:t xml:space="preserve">  22</w:t>
            </w:r>
            <w:r w:rsidR="0084378A" w:rsidRPr="0084378A">
              <w:rPr>
                <w:vertAlign w:val="superscript"/>
              </w:rPr>
              <w:t>nd</w:t>
            </w:r>
            <w:r w:rsidR="0084378A">
              <w:t xml:space="preserve"> June 2017 </w:t>
            </w:r>
            <w:bookmarkStart w:id="0" w:name="_GoBack"/>
            <w:bookmarkEnd w:id="0"/>
          </w:p>
        </w:tc>
      </w:tr>
    </w:tbl>
    <w:p w:rsidR="0024267E" w:rsidRPr="0024267E" w:rsidRDefault="0024267E" w:rsidP="008C0D60">
      <w:pPr>
        <w:spacing w:after="0"/>
      </w:pPr>
    </w:p>
    <w:sectPr w:rsidR="0024267E" w:rsidRPr="00242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344F"/>
    <w:multiLevelType w:val="hybridMultilevel"/>
    <w:tmpl w:val="FA08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15805"/>
    <w:multiLevelType w:val="hybridMultilevel"/>
    <w:tmpl w:val="0FD8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6100C"/>
    <w:multiLevelType w:val="hybridMultilevel"/>
    <w:tmpl w:val="88DC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48"/>
    <w:rsid w:val="00226D9C"/>
    <w:rsid w:val="0024267E"/>
    <w:rsid w:val="002902BC"/>
    <w:rsid w:val="003F0185"/>
    <w:rsid w:val="005E1F8C"/>
    <w:rsid w:val="006157C3"/>
    <w:rsid w:val="006A4BCB"/>
    <w:rsid w:val="0084378A"/>
    <w:rsid w:val="008C0D60"/>
    <w:rsid w:val="00C54B22"/>
    <w:rsid w:val="00D74D48"/>
    <w:rsid w:val="00D75D36"/>
    <w:rsid w:val="00E8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B9E1"/>
  <w15:chartTrackingRefBased/>
  <w15:docId w15:val="{013BF5F5-3A74-48E2-8BEC-5E6AFF2E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D48"/>
    <w:rPr>
      <w:color w:val="0563C1" w:themeColor="hyperlink"/>
      <w:u w:val="single"/>
    </w:rPr>
  </w:style>
  <w:style w:type="paragraph" w:styleId="ListParagraph">
    <w:name w:val="List Paragraph"/>
    <w:basedOn w:val="Normal"/>
    <w:uiPriority w:val="34"/>
    <w:qFormat/>
    <w:rsid w:val="003F0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sano@sawgrassgran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Fasano@sawgrassgrand.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ccounting@sawgrassgrand.com" TargetMode="External"/><Relationship Id="rId5" Type="http://schemas.openxmlformats.org/officeDocument/2006/relationships/webSettings" Target="webSettings.xml"/><Relationship Id="rId10" Type="http://schemas.openxmlformats.org/officeDocument/2006/relationships/hyperlink" Target="mailto:reservations@sawgrassgrand.com" TargetMode="External"/><Relationship Id="rId4" Type="http://schemas.openxmlformats.org/officeDocument/2006/relationships/settings" Target="settings.xml"/><Relationship Id="rId9" Type="http://schemas.openxmlformats.org/officeDocument/2006/relationships/hyperlink" Target="mailto:Reservations@sawgrassgra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1072-A604-433F-948C-FAA7C716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Fasano</dc:creator>
  <cp:keywords/>
  <dc:description/>
  <cp:lastModifiedBy>user</cp:lastModifiedBy>
  <cp:revision>2</cp:revision>
  <dcterms:created xsi:type="dcterms:W3CDTF">2017-06-22T15:55:00Z</dcterms:created>
  <dcterms:modified xsi:type="dcterms:W3CDTF">2017-06-22T15:55:00Z</dcterms:modified>
</cp:coreProperties>
</file>